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52E8" w14:textId="151FAA2D" w:rsidR="00622F54" w:rsidRPr="00A55480" w:rsidRDefault="00684C84" w:rsidP="00684C84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A55480">
        <w:rPr>
          <w:rFonts w:asciiTheme="minorHAnsi" w:hAnsiTheme="minorHAnsi" w:cstheme="minorHAnsi"/>
          <w:b/>
          <w:bCs/>
          <w:sz w:val="22"/>
          <w:szCs w:val="22"/>
        </w:rPr>
        <w:t>Vernier Go Direct</w:t>
      </w:r>
      <w:r w:rsidRPr="00A55480">
        <w:rPr>
          <w:rFonts w:asciiTheme="minorHAnsi" w:hAnsiTheme="minorHAnsi" w:cstheme="minorHAnsi"/>
          <w:b/>
          <w:bCs/>
          <w:position w:val="12"/>
          <w:sz w:val="22"/>
          <w:szCs w:val="22"/>
        </w:rPr>
        <w:t xml:space="preserve">® </w:t>
      </w:r>
      <w:r w:rsidR="00622F54" w:rsidRPr="00A55480">
        <w:rPr>
          <w:rFonts w:asciiTheme="minorHAnsi" w:hAnsiTheme="minorHAnsi" w:cstheme="minorHAnsi"/>
          <w:b/>
          <w:bCs/>
          <w:sz w:val="22"/>
          <w:szCs w:val="22"/>
          <w:lang w:val="lt-LT"/>
        </w:rPr>
        <w:t>Jutiklių baterijų įkrovimo įrenginys</w:t>
      </w:r>
      <w:r w:rsidRPr="00A554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548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    </w:t>
      </w:r>
      <w:r w:rsidR="00622F54" w:rsidRPr="00A55480">
        <w:rPr>
          <w:rFonts w:asciiTheme="minorHAnsi" w:hAnsiTheme="minorHAnsi" w:cstheme="minorHAnsi"/>
          <w:b/>
          <w:bCs/>
          <w:sz w:val="18"/>
          <w:szCs w:val="18"/>
          <w:lang w:val="lt-LT"/>
        </w:rPr>
        <w:t xml:space="preserve">Kodas </w:t>
      </w:r>
      <w:r w:rsidRPr="00A55480">
        <w:rPr>
          <w:rFonts w:asciiTheme="minorHAnsi" w:hAnsiTheme="minorHAnsi" w:cstheme="minorHAnsi"/>
          <w:b/>
          <w:bCs/>
          <w:sz w:val="18"/>
          <w:szCs w:val="18"/>
        </w:rPr>
        <w:t xml:space="preserve"> GDX-CRG</w:t>
      </w:r>
    </w:p>
    <w:p w14:paraId="316823BA" w14:textId="77777777" w:rsidR="00622F54" w:rsidRPr="00A55480" w:rsidRDefault="00622F54" w:rsidP="00622F54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A55480">
        <w:rPr>
          <w:rFonts w:asciiTheme="minorHAnsi" w:hAnsiTheme="minorHAnsi" w:cstheme="minorHAnsi"/>
          <w:b/>
          <w:bCs/>
          <w:sz w:val="22"/>
          <w:szCs w:val="22"/>
        </w:rPr>
        <w:t>Įkrovimo instrukcijos</w:t>
      </w:r>
    </w:p>
    <w:p w14:paraId="4AB74F05" w14:textId="40EB5CB4" w:rsidR="00684C84" w:rsidRPr="00A55480" w:rsidRDefault="00622F54" w:rsidP="00622F54">
      <w:pPr>
        <w:pStyle w:val="NormalWeb"/>
        <w:rPr>
          <w:rFonts w:asciiTheme="minorHAnsi" w:hAnsiTheme="minorHAnsi" w:cstheme="minorHAnsi"/>
          <w:sz w:val="22"/>
          <w:szCs w:val="22"/>
          <w:lang w:val="lt-LT"/>
        </w:rPr>
      </w:pPr>
      <w:r w:rsidRPr="00A55480">
        <w:rPr>
          <w:rFonts w:asciiTheme="minorHAnsi" w:hAnsiTheme="minorHAnsi" w:cstheme="minorHAnsi"/>
          <w:sz w:val="22"/>
          <w:szCs w:val="22"/>
        </w:rPr>
        <w:t>Prijunkite vieną ar daugiau „Go Direct®“ palaikomų įrenginių arba „Go Wireless“ jutiklius prie „Go Direct“ įkrovimo stot</w:t>
      </w:r>
      <w:proofErr w:type="spellStart"/>
      <w:r w:rsidRPr="00A55480">
        <w:rPr>
          <w:rFonts w:asciiTheme="minorHAnsi" w:hAnsiTheme="minorHAnsi" w:cstheme="minorHAnsi"/>
          <w:sz w:val="22"/>
          <w:szCs w:val="22"/>
          <w:lang w:val="lt-LT"/>
        </w:rPr>
        <w:t>elės</w:t>
      </w:r>
      <w:proofErr w:type="spellEnd"/>
      <w:r w:rsidRPr="00A55480">
        <w:rPr>
          <w:rFonts w:asciiTheme="minorHAnsi" w:hAnsiTheme="minorHAnsi" w:cstheme="minorHAnsi"/>
          <w:sz w:val="22"/>
          <w:szCs w:val="22"/>
        </w:rPr>
        <w:t xml:space="preserve">. Įkraukite </w:t>
      </w:r>
      <w:r w:rsidRPr="00A55480">
        <w:rPr>
          <w:rFonts w:asciiTheme="minorHAnsi" w:hAnsiTheme="minorHAnsi" w:cstheme="minorHAnsi"/>
          <w:sz w:val="22"/>
          <w:szCs w:val="22"/>
          <w:lang w:val="lt-LT"/>
        </w:rPr>
        <w:t xml:space="preserve">norimus </w:t>
      </w:r>
      <w:r w:rsidRPr="00A55480">
        <w:rPr>
          <w:rFonts w:asciiTheme="minorHAnsi" w:hAnsiTheme="minorHAnsi" w:cstheme="minorHAnsi"/>
          <w:sz w:val="22"/>
          <w:szCs w:val="22"/>
        </w:rPr>
        <w:t>įrenginius</w:t>
      </w:r>
      <w:r w:rsidRPr="00A55480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3B0C74F2" w14:textId="105E95C2" w:rsidR="00684C84" w:rsidRPr="00A55480" w:rsidRDefault="00622F54" w:rsidP="00684C84">
      <w:pPr>
        <w:rPr>
          <w:rFonts w:cstheme="minorHAnsi"/>
          <w:sz w:val="22"/>
          <w:szCs w:val="22"/>
        </w:rPr>
      </w:pPr>
      <w:r w:rsidRPr="00A55480">
        <w:rPr>
          <w:rFonts w:cstheme="minorHAnsi"/>
          <w:noProof/>
          <w:sz w:val="22"/>
          <w:szCs w:val="22"/>
        </w:rPr>
        <w:drawing>
          <wp:inline distT="0" distB="0" distL="0" distR="0" wp14:anchorId="17A3F08C" wp14:editId="3A35FC56">
            <wp:extent cx="2815271" cy="118325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890" cy="121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F26A4" w14:textId="746A4741" w:rsidR="00684C84" w:rsidRPr="00A55480" w:rsidRDefault="00684C84" w:rsidP="00684C84">
      <w:pPr>
        <w:rPr>
          <w:rFonts w:cstheme="minorHAnsi"/>
          <w:sz w:val="22"/>
          <w:szCs w:val="22"/>
        </w:rPr>
      </w:pPr>
    </w:p>
    <w:p w14:paraId="6F825216" w14:textId="36A607D9" w:rsidR="00622F54" w:rsidRPr="00A55480" w:rsidRDefault="00622F54" w:rsidP="00622F54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A55480">
        <w:rPr>
          <w:rFonts w:asciiTheme="minorHAnsi" w:hAnsiTheme="minorHAnsi" w:cstheme="minorHAnsi"/>
          <w:b/>
          <w:bCs/>
          <w:sz w:val="22"/>
          <w:szCs w:val="22"/>
        </w:rPr>
        <w:t>Įkrovimo indik</w:t>
      </w:r>
      <w:proofErr w:type="spellStart"/>
      <w:r w:rsidRPr="00A55480">
        <w:rPr>
          <w:rFonts w:asciiTheme="minorHAnsi" w:hAnsiTheme="minorHAnsi" w:cstheme="minorHAnsi"/>
          <w:b/>
          <w:bCs/>
          <w:sz w:val="22"/>
          <w:szCs w:val="22"/>
          <w:lang w:val="lt-LT"/>
        </w:rPr>
        <w:t>a</w:t>
      </w:r>
      <w:r w:rsidR="00A55480">
        <w:rPr>
          <w:rFonts w:asciiTheme="minorHAnsi" w:hAnsiTheme="minorHAnsi" w:cstheme="minorHAnsi"/>
          <w:b/>
          <w:bCs/>
          <w:sz w:val="22"/>
          <w:szCs w:val="22"/>
          <w:lang w:val="lt-LT"/>
        </w:rPr>
        <w:t>torius</w:t>
      </w:r>
      <w:proofErr w:type="spellEnd"/>
    </w:p>
    <w:p w14:paraId="75940B41" w14:textId="77777777" w:rsidR="00622F54" w:rsidRPr="00A55480" w:rsidRDefault="00622F54" w:rsidP="00622F5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55480">
        <w:rPr>
          <w:rFonts w:asciiTheme="minorHAnsi" w:hAnsiTheme="minorHAnsi" w:cstheme="minorHAnsi"/>
          <w:sz w:val="22"/>
          <w:szCs w:val="22"/>
        </w:rPr>
        <w:t>Kiekvieno jutiklio įkrovimo indikatorius naudojamas nustatyti kiekvieno jutiklio įkrovimo būseną. Apie jutiklio specifinio įkrovimo veikimą žiūrėkite jutiklio vartotojo vadove.</w:t>
      </w:r>
    </w:p>
    <w:p w14:paraId="4B80A0CB" w14:textId="1FC11E4F" w:rsidR="00622F54" w:rsidRPr="00A55480" w:rsidRDefault="00622F54" w:rsidP="00622F54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A55480">
        <w:rPr>
          <w:rFonts w:asciiTheme="minorHAnsi" w:hAnsiTheme="minorHAnsi" w:cstheme="minorHAnsi"/>
          <w:b/>
          <w:bCs/>
          <w:sz w:val="22"/>
          <w:szCs w:val="22"/>
        </w:rPr>
        <w:t>Atsargumo priemonės ir naudojimo patarimai</w:t>
      </w:r>
      <w:r w:rsidRPr="00A55480">
        <w:rPr>
          <w:rFonts w:asciiTheme="minorHAnsi" w:hAnsiTheme="minorHAnsi" w:cstheme="minorHAnsi"/>
          <w:b/>
          <w:bCs/>
          <w:sz w:val="22"/>
          <w:szCs w:val="22"/>
          <w:lang w:val="lt-LT"/>
        </w:rPr>
        <w:t>:</w:t>
      </w:r>
    </w:p>
    <w:p w14:paraId="20A5600B" w14:textId="50B0DC49" w:rsidR="00622F54" w:rsidRPr="00A55480" w:rsidRDefault="00622F54" w:rsidP="00622F5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55480">
        <w:rPr>
          <w:rFonts w:asciiTheme="minorHAnsi" w:hAnsiTheme="minorHAnsi" w:cstheme="minorHAnsi"/>
          <w:sz w:val="22"/>
          <w:szCs w:val="22"/>
        </w:rPr>
        <w:t>• Įrenginius galite krauti bet kurį laik</w:t>
      </w:r>
      <w:r w:rsidRPr="00A55480">
        <w:rPr>
          <w:rFonts w:asciiTheme="minorHAnsi" w:hAnsiTheme="minorHAnsi" w:cstheme="minorHAnsi"/>
          <w:sz w:val="22"/>
          <w:szCs w:val="22"/>
          <w:lang w:val="lt-LT"/>
        </w:rPr>
        <w:t>o tarpą</w:t>
      </w:r>
      <w:r w:rsidRPr="00A55480">
        <w:rPr>
          <w:rFonts w:asciiTheme="minorHAnsi" w:hAnsiTheme="minorHAnsi" w:cstheme="minorHAnsi"/>
          <w:sz w:val="22"/>
          <w:szCs w:val="22"/>
        </w:rPr>
        <w:t>, net keletą minučių tarp pamokų.</w:t>
      </w:r>
    </w:p>
    <w:p w14:paraId="036246BD" w14:textId="43DB926D" w:rsidR="00622F54" w:rsidRPr="00A55480" w:rsidRDefault="00622F54" w:rsidP="00622F5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55480">
        <w:rPr>
          <w:rFonts w:asciiTheme="minorHAnsi" w:hAnsiTheme="minorHAnsi" w:cstheme="minorHAnsi"/>
          <w:sz w:val="22"/>
          <w:szCs w:val="22"/>
        </w:rPr>
        <w:t>• Niekada ne</w:t>
      </w:r>
      <w:r w:rsidRPr="00A55480">
        <w:rPr>
          <w:rFonts w:asciiTheme="minorHAnsi" w:hAnsiTheme="minorHAnsi" w:cstheme="minorHAnsi"/>
          <w:sz w:val="22"/>
          <w:szCs w:val="22"/>
          <w:lang w:val="lt-LT"/>
        </w:rPr>
        <w:t xml:space="preserve">kiškite kitų </w:t>
      </w:r>
      <w:r w:rsidRPr="00A55480">
        <w:rPr>
          <w:rFonts w:asciiTheme="minorHAnsi" w:hAnsiTheme="minorHAnsi" w:cstheme="minorHAnsi"/>
          <w:sz w:val="22"/>
          <w:szCs w:val="22"/>
        </w:rPr>
        <w:t>metalinių daiktų į įkrovimo angas.</w:t>
      </w:r>
    </w:p>
    <w:p w14:paraId="66E97280" w14:textId="49889CA9" w:rsidR="00622F54" w:rsidRPr="00A55480" w:rsidRDefault="00622F54" w:rsidP="00622F54">
      <w:pPr>
        <w:pStyle w:val="NormalWeb"/>
        <w:rPr>
          <w:rFonts w:asciiTheme="minorHAnsi" w:hAnsiTheme="minorHAnsi" w:cstheme="minorHAnsi"/>
          <w:sz w:val="22"/>
          <w:szCs w:val="22"/>
          <w:lang w:val="lt-LT"/>
        </w:rPr>
      </w:pPr>
      <w:r w:rsidRPr="00A55480">
        <w:rPr>
          <w:rFonts w:asciiTheme="minorHAnsi" w:hAnsiTheme="minorHAnsi" w:cstheme="minorHAnsi"/>
          <w:sz w:val="22"/>
          <w:szCs w:val="22"/>
        </w:rPr>
        <w:t xml:space="preserve">• Įkrovimo stotis </w:t>
      </w:r>
      <w:r w:rsidRPr="00A55480">
        <w:rPr>
          <w:rFonts w:asciiTheme="minorHAnsi" w:hAnsiTheme="minorHAnsi" w:cstheme="minorHAnsi"/>
          <w:sz w:val="22"/>
          <w:szCs w:val="22"/>
          <w:lang w:val="lt-LT"/>
        </w:rPr>
        <w:t>ne</w:t>
      </w:r>
      <w:r w:rsidRPr="00A55480">
        <w:rPr>
          <w:rFonts w:asciiTheme="minorHAnsi" w:hAnsiTheme="minorHAnsi" w:cstheme="minorHAnsi"/>
          <w:sz w:val="22"/>
          <w:szCs w:val="22"/>
        </w:rPr>
        <w:t xml:space="preserve">atspari vandeniui ir neturėtų būti </w:t>
      </w:r>
      <w:r w:rsidRPr="00A55480">
        <w:rPr>
          <w:rFonts w:asciiTheme="minorHAnsi" w:hAnsiTheme="minorHAnsi" w:cstheme="minorHAnsi"/>
          <w:sz w:val="22"/>
          <w:szCs w:val="22"/>
          <w:lang w:val="lt-LT"/>
        </w:rPr>
        <w:t xml:space="preserve">naudojama </w:t>
      </w:r>
      <w:r w:rsidRPr="00A55480">
        <w:rPr>
          <w:rFonts w:asciiTheme="minorHAnsi" w:hAnsiTheme="minorHAnsi" w:cstheme="minorHAnsi"/>
          <w:sz w:val="22"/>
          <w:szCs w:val="22"/>
        </w:rPr>
        <w:t>drėgno</w:t>
      </w:r>
      <w:r w:rsidRPr="00A55480">
        <w:rPr>
          <w:rFonts w:asciiTheme="minorHAnsi" w:hAnsiTheme="minorHAnsi" w:cstheme="minorHAnsi"/>
          <w:sz w:val="22"/>
          <w:szCs w:val="22"/>
          <w:lang w:val="lt-LT"/>
        </w:rPr>
        <w:t>je</w:t>
      </w:r>
      <w:r w:rsidRPr="00A55480">
        <w:rPr>
          <w:rFonts w:asciiTheme="minorHAnsi" w:hAnsiTheme="minorHAnsi" w:cstheme="minorHAnsi"/>
          <w:sz w:val="22"/>
          <w:szCs w:val="22"/>
        </w:rPr>
        <w:t xml:space="preserve"> </w:t>
      </w:r>
      <w:r w:rsidRPr="00A55480">
        <w:rPr>
          <w:rFonts w:asciiTheme="minorHAnsi" w:hAnsiTheme="minorHAnsi" w:cstheme="minorHAnsi"/>
          <w:sz w:val="22"/>
          <w:szCs w:val="22"/>
          <w:lang w:val="lt-LT"/>
        </w:rPr>
        <w:t>aplinkoje.</w:t>
      </w:r>
    </w:p>
    <w:p w14:paraId="1DC5E7D5" w14:textId="1B7F8F2E" w:rsidR="00622F54" w:rsidRPr="00A55480" w:rsidRDefault="00622F54" w:rsidP="00622F5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55480">
        <w:rPr>
          <w:rFonts w:asciiTheme="minorHAnsi" w:hAnsiTheme="minorHAnsi" w:cstheme="minorHAnsi"/>
          <w:sz w:val="22"/>
          <w:szCs w:val="22"/>
        </w:rPr>
        <w:t xml:space="preserve">• Į įkrovimo stotį nedėkite šlapio </w:t>
      </w:r>
      <w:r w:rsidRPr="00A55480">
        <w:rPr>
          <w:rFonts w:asciiTheme="minorHAnsi" w:hAnsiTheme="minorHAnsi" w:cstheme="minorHAnsi"/>
          <w:sz w:val="22"/>
          <w:szCs w:val="22"/>
          <w:lang w:val="lt-LT"/>
        </w:rPr>
        <w:t>jutiklio, jungties</w:t>
      </w:r>
      <w:r w:rsidRPr="00A554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7D5700" w14:textId="07A4A1F8" w:rsidR="00622F54" w:rsidRPr="00A55480" w:rsidRDefault="00622F54" w:rsidP="00622F5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55480">
        <w:rPr>
          <w:rFonts w:asciiTheme="minorHAnsi" w:hAnsiTheme="minorHAnsi" w:cstheme="minorHAnsi"/>
          <w:sz w:val="22"/>
          <w:szCs w:val="22"/>
        </w:rPr>
        <w:t>• Naudokite tik su šiuo įrenginiu pateiktą maitinimo adapterį.</w:t>
      </w:r>
    </w:p>
    <w:p w14:paraId="417F919D" w14:textId="77777777" w:rsidR="00622F54" w:rsidRPr="00A55480" w:rsidRDefault="00622F54" w:rsidP="00622F54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A55480">
        <w:rPr>
          <w:rFonts w:asciiTheme="minorHAnsi" w:hAnsiTheme="minorHAnsi" w:cstheme="minorHAnsi"/>
          <w:b/>
          <w:bCs/>
          <w:sz w:val="22"/>
          <w:szCs w:val="22"/>
        </w:rPr>
        <w:t>Atliekų šalinimo instrukcija</w:t>
      </w:r>
    </w:p>
    <w:p w14:paraId="5601FC31" w14:textId="5429FE61" w:rsidR="00622F54" w:rsidRPr="00A55480" w:rsidRDefault="00622F54" w:rsidP="00622F54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A55480">
        <w:rPr>
          <w:rFonts w:asciiTheme="minorHAnsi" w:hAnsiTheme="minorHAnsi" w:cstheme="minorHAnsi"/>
          <w:sz w:val="22"/>
          <w:szCs w:val="22"/>
        </w:rPr>
        <w:t xml:space="preserve">Neišmeskite šio elektroninio gaminio, nelaikykite jo kaip buitinių atliekų. Ją šalinant galioja </w:t>
      </w:r>
      <w:r w:rsidRPr="00A55480">
        <w:rPr>
          <w:rFonts w:asciiTheme="minorHAnsi" w:hAnsiTheme="minorHAnsi" w:cstheme="minorHAnsi"/>
          <w:sz w:val="22"/>
          <w:szCs w:val="22"/>
          <w:lang w:val="lt-LT"/>
        </w:rPr>
        <w:t xml:space="preserve">LR </w:t>
      </w:r>
      <w:r w:rsidRPr="00A55480">
        <w:rPr>
          <w:rFonts w:asciiTheme="minorHAnsi" w:hAnsiTheme="minorHAnsi" w:cstheme="minorHAnsi"/>
          <w:sz w:val="22"/>
          <w:szCs w:val="22"/>
        </w:rPr>
        <w:t>taisyklės</w:t>
      </w:r>
      <w:r w:rsidRPr="00A55480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Pr="00A55480">
        <w:rPr>
          <w:rFonts w:asciiTheme="minorHAnsi" w:hAnsiTheme="minorHAnsi" w:cstheme="minorHAnsi"/>
          <w:sz w:val="22"/>
          <w:szCs w:val="22"/>
        </w:rPr>
        <w:t xml:space="preserve">Šis </w:t>
      </w:r>
      <w:r w:rsidRPr="00A55480">
        <w:rPr>
          <w:rFonts w:asciiTheme="minorHAnsi" w:hAnsiTheme="minorHAnsi" w:cstheme="minorHAnsi"/>
          <w:sz w:val="22"/>
          <w:szCs w:val="22"/>
          <w:lang w:val="lt-LT"/>
        </w:rPr>
        <w:t xml:space="preserve">įrenginys </w:t>
      </w:r>
      <w:r w:rsidRPr="00A55480">
        <w:rPr>
          <w:rFonts w:asciiTheme="minorHAnsi" w:hAnsiTheme="minorHAnsi" w:cstheme="minorHAnsi"/>
          <w:sz w:val="22"/>
          <w:szCs w:val="22"/>
        </w:rPr>
        <w:t>turėtų būti perduotas tinkamam surinkimo punktui, kuriame perdirbama elektros ir elektroninė įranga. Užtikrin</w:t>
      </w:r>
      <w:r w:rsidRPr="00A55480">
        <w:rPr>
          <w:rFonts w:asciiTheme="minorHAnsi" w:hAnsiTheme="minorHAnsi" w:cstheme="minorHAnsi"/>
          <w:sz w:val="22"/>
          <w:szCs w:val="22"/>
          <w:lang w:val="lt-LT"/>
        </w:rPr>
        <w:t>ę</w:t>
      </w:r>
      <w:r w:rsidRPr="00A55480">
        <w:rPr>
          <w:rFonts w:asciiTheme="minorHAnsi" w:hAnsiTheme="minorHAnsi" w:cstheme="minorHAnsi"/>
          <w:sz w:val="22"/>
          <w:szCs w:val="22"/>
        </w:rPr>
        <w:t xml:space="preserve">, kad šis produktas bus tinkamai </w:t>
      </w:r>
      <w:r w:rsidR="00A55480" w:rsidRPr="00A55480">
        <w:rPr>
          <w:rFonts w:asciiTheme="minorHAnsi" w:hAnsiTheme="minorHAnsi" w:cstheme="minorHAnsi"/>
          <w:sz w:val="22"/>
          <w:szCs w:val="22"/>
          <w:lang w:val="lt-LT"/>
        </w:rPr>
        <w:t>perdirbtas</w:t>
      </w:r>
      <w:r w:rsidRPr="00A55480">
        <w:rPr>
          <w:rFonts w:asciiTheme="minorHAnsi" w:hAnsiTheme="minorHAnsi" w:cstheme="minorHAnsi"/>
          <w:sz w:val="22"/>
          <w:szCs w:val="22"/>
        </w:rPr>
        <w:t xml:space="preserve">, jūs padėsite išvengti galimų neigiamų pasekmių žmogaus sveikatai ar aplinkai. Medžiagų perdirbimas padės išsaugoti gamtos išteklius. </w:t>
      </w:r>
    </w:p>
    <w:p w14:paraId="2534BA92" w14:textId="1BDA19F3" w:rsidR="00622F54" w:rsidRPr="00A55480" w:rsidRDefault="00A55480" w:rsidP="00622F5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5548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9223EF8" wp14:editId="528658C0">
            <wp:extent cx="298027" cy="40142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70" cy="4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F54" w:rsidRPr="00A55480">
        <w:rPr>
          <w:rFonts w:asciiTheme="minorHAnsi" w:hAnsiTheme="minorHAnsi" w:cstheme="minorHAnsi"/>
          <w:sz w:val="22"/>
          <w:szCs w:val="22"/>
        </w:rPr>
        <w:t>Čia pavaizduotas simbolis rodo, kad šio gaminio negalima mesti į standartinį atliekų konteinerį.</w:t>
      </w:r>
    </w:p>
    <w:p w14:paraId="3B50377E" w14:textId="77777777" w:rsidR="00622F54" w:rsidRPr="00A55480" w:rsidRDefault="00622F54" w:rsidP="00622F54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A55480">
        <w:rPr>
          <w:rFonts w:asciiTheme="minorHAnsi" w:hAnsiTheme="minorHAnsi" w:cstheme="minorHAnsi"/>
          <w:b/>
          <w:bCs/>
          <w:sz w:val="22"/>
          <w:szCs w:val="22"/>
        </w:rPr>
        <w:t>Garantija</w:t>
      </w:r>
    </w:p>
    <w:p w14:paraId="2C3C751C" w14:textId="584E59E2" w:rsidR="00684C84" w:rsidRPr="00A55480" w:rsidRDefault="00A55480" w:rsidP="00684C84">
      <w:pPr>
        <w:rPr>
          <w:rFonts w:cstheme="minorHAnsi"/>
          <w:sz w:val="22"/>
          <w:szCs w:val="22"/>
          <w:lang w:val="lt-LT"/>
        </w:rPr>
      </w:pPr>
      <w:r w:rsidRPr="00A55480">
        <w:rPr>
          <w:rFonts w:eastAsia="Times New Roman" w:cstheme="minorHAnsi"/>
          <w:sz w:val="22"/>
          <w:szCs w:val="22"/>
        </w:rPr>
        <w:t>„Vernier“ garantuoja</w:t>
      </w:r>
      <w:r w:rsidRPr="00A55480">
        <w:rPr>
          <w:rFonts w:eastAsia="Times New Roman" w:cstheme="minorHAnsi"/>
          <w:sz w:val="22"/>
          <w:szCs w:val="22"/>
          <w:lang w:val="en-US"/>
        </w:rPr>
        <w:t xml:space="preserve"> </w:t>
      </w:r>
      <w:proofErr w:type="spellStart"/>
      <w:r w:rsidRPr="00A55480">
        <w:rPr>
          <w:rFonts w:eastAsia="Times New Roman" w:cstheme="minorHAnsi"/>
          <w:sz w:val="22"/>
          <w:szCs w:val="22"/>
          <w:lang w:val="en-US"/>
        </w:rPr>
        <w:t>kokybę</w:t>
      </w:r>
      <w:proofErr w:type="spellEnd"/>
      <w:r w:rsidRPr="00A55480">
        <w:rPr>
          <w:rFonts w:eastAsia="Times New Roman" w:cstheme="minorHAnsi"/>
          <w:sz w:val="22"/>
          <w:szCs w:val="22"/>
        </w:rPr>
        <w:t xml:space="preserve"> penkerius metus nuo pristatymo klientui dienos. Ši garantija netaikoma gaminio pažeidimams, atsiradusiems dėl piktnaudžiavimo ar netinkamo naudojimo.</w:t>
      </w:r>
    </w:p>
    <w:sectPr w:rsidR="00684C84" w:rsidRPr="00A55480" w:rsidSect="00A5548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84"/>
    <w:rsid w:val="00622F54"/>
    <w:rsid w:val="00684C84"/>
    <w:rsid w:val="00A5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66A784"/>
  <w15:chartTrackingRefBased/>
  <w15:docId w15:val="{50CD1403-D59D-1843-A8D0-F0944353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C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2021-05-18T07:15:00Z</dcterms:created>
  <dcterms:modified xsi:type="dcterms:W3CDTF">2021-05-18T07:48:00Z</dcterms:modified>
</cp:coreProperties>
</file>